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keepNext w:val="0"/>
        <w:spacing w:before="0" w:after="20" w:line="240" w:lineRule="auto"/>
        <w:jc w:val="left"/>
        <w:widowControl w:val="0"/>
      </w:pPr>
    </w:p>
    <w:p>
      <w:pPr>
        <w:keepNext/>
        <w:spacing w:before="0" w:after="120" w:line="240" w:lineRule="auto"/>
        <w:jc w:val="center"/>
        <w:widowControl w:val="0"/>
      </w:pPr>
      <w:r>
        <w:rPr>
          <w:rFonts w:ascii="Montserrat" w:hAnsi="Montserrat" w:eastAsia="Montserrat"/>
          <w:b/>
          <w:sz w:val="28"/>
          <w:u w:val="single"/>
        </w:rPr>
        <w:t>Information about research projects (2026-2027)</w:t>
      </w:r>
    </w:p>
    <w:p>
      <w:pPr>
        <w:keepNext w:val="0"/>
        <w:spacing w:before="0" w:after="10" w:line="240" w:lineRule="auto"/>
        <w:jc w:val="left"/>
        <w:widowControl w:val="0"/>
      </w:pPr>
      <w:r>
        <w:rPr>
          <w:rFonts w:ascii="Montserrat" w:hAnsi="Montserrat" w:eastAsia="Montserrat"/>
          <w:sz w:val="22"/>
        </w:rPr>
        <w:t>Principal investigators:</w:t>
      </w:r>
      <w:r>
        <w:rPr>
          <w:rFonts w:ascii="Montserrat" w:hAnsi="Montserrat" w:eastAsia="Montserrat"/>
          <w:sz w:val="22"/>
        </w:rPr>
        <w:t xml:space="preserve"> Prof Riem El Tahry and Dr Mehrdad Bahadori</w:t>
      </w:r>
    </w:p>
    <w:p>
      <w:pPr>
        <w:keepNext w:val="0"/>
        <w:spacing w:before="0" w:after="10" w:line="240" w:lineRule="auto"/>
        <w:jc w:val="left"/>
        <w:widowControl w:val="0"/>
      </w:pPr>
      <w:r>
        <w:rPr>
          <w:rFonts w:ascii="Montserrat" w:hAnsi="Montserrat" w:eastAsia="Montserrat"/>
          <w:sz w:val="22"/>
        </w:rPr>
        <w:t>Phone :</w:t>
      </w:r>
      <w:r>
        <w:rPr>
          <w:rFonts w:ascii="Montserrat" w:hAnsi="Montserrat" w:eastAsia="Montserrat"/>
          <w:sz w:val="22"/>
        </w:rPr>
        <w:t xml:space="preserve"> +32 27 64 53 17</w:t>
      </w:r>
    </w:p>
    <w:p>
      <w:pPr>
        <w:keepNext w:val="0"/>
        <w:spacing w:before="0" w:after="10" w:line="240" w:lineRule="auto"/>
        <w:jc w:val="left"/>
        <w:widowControl w:val="0"/>
      </w:pPr>
      <w:r>
        <w:rPr>
          <w:rFonts w:ascii="Montserrat" w:hAnsi="Montserrat" w:eastAsia="Montserrat"/>
          <w:sz w:val="22"/>
        </w:rPr>
        <w:t xml:space="preserve">E-mail : </w:t>
      </w:r>
      <w:hyperlink r:id="rId12">
        <w:r>
          <w:rPr>
            <w:rFonts w:ascii="Montserrat" w:hAnsi="Montserrat"/>
            <w:color w:val="0000FF"/>
            <w:u w:val="single"/>
            <w:sz w:val="22"/>
            <w:szCs w:val="22"/>
          </w:rPr>
          <w:t>riem.eltahry@uclouvain.be</w:t>
        </w:r>
      </w:hyperlink>
    </w:p>
    <w:p>
      <w:pPr>
        <w:keepNext w:val="0"/>
        <w:spacing w:before="0" w:after="10" w:line="240" w:lineRule="auto"/>
        <w:jc w:val="left"/>
        <w:widowControl w:val="0"/>
      </w:pPr>
      <w:r>
        <w:rPr>
          <w:rFonts w:ascii="Montserrat" w:hAnsi="Montserrat" w:eastAsia="Montserrat"/>
          <w:sz w:val="22"/>
        </w:rPr>
        <w:t>Name of laboratory:</w:t>
      </w:r>
      <w:r>
        <w:rPr>
          <w:rFonts w:ascii="Montserrat" w:hAnsi="Montserrat" w:eastAsia="Montserrat"/>
          <w:sz w:val="22"/>
        </w:rPr>
        <w:t xml:space="preserve"> Epilepsy and Neuromodulation Lab</w:t>
      </w:r>
    </w:p>
    <w:p>
      <w:pPr>
        <w:keepNext w:val="0"/>
        <w:spacing w:before="0" w:after="10" w:line="240" w:lineRule="auto"/>
        <w:jc w:val="left"/>
        <w:widowControl w:val="0"/>
      </w:pPr>
      <w:r>
        <w:rPr>
          <w:rFonts w:ascii="Montserrat" w:hAnsi="Montserrat" w:eastAsia="Montserrat"/>
          <w:sz w:val="22"/>
        </w:rPr>
        <w:t>Address of laboratory:</w:t>
      </w:r>
      <w:r>
        <w:rPr>
          <w:rFonts w:ascii="Montserrat" w:hAnsi="Montserrat" w:eastAsia="Montserrat"/>
          <w:sz w:val="22"/>
        </w:rPr>
        <w:t xml:space="preserve"> Tour Vesale, level 5, Avenue Mounier, 52, 1200 Brussels</w:t>
      </w:r>
    </w:p>
    <w:p>
      <w:pPr>
        <w:keepNext w:val="0"/>
        <w:spacing w:before="0" w:after="10" w:line="240" w:lineRule="auto"/>
        <w:jc w:val="left"/>
        <w:widowControl w:val="0"/>
      </w:pPr>
      <w:r>
        <w:rPr>
          <w:rFonts w:ascii="Montserrat" w:hAnsi="Montserrat" w:eastAsia="Montserrat"/>
          <w:i/>
          <w:sz w:val="22"/>
        </w:rPr>
        <w:t>Website:</w:t>
      </w:r>
      <w:r>
        <w:rPr>
          <w:rFonts w:ascii="Montserrat" w:hAnsi="Montserrat" w:eastAsia="Montserrat"/>
          <w:sz w:val="22"/>
        </w:rPr>
        <w:t xml:space="preserve"> </w:t>
      </w:r>
      <w:hyperlink r:id="rId13">
        <w:r>
          <w:rPr>
            <w:rFonts w:ascii="Montserrat" w:hAnsi="Montserrat"/>
            <w:color w:val="0000FF"/>
            <w:u w:val="single"/>
            <w:sz w:val="22"/>
            <w:szCs w:val="22"/>
          </w:rPr>
          <w:t>https://www.enlab.be/</w:t>
        </w:r>
      </w:hyperlink>
    </w:p>
    <w:p>
      <w:pPr>
        <w:keepNext w:val="0"/>
        <w:spacing w:before="0" w:after="60" w:line="240" w:lineRule="auto"/>
        <w:jc w:val="left"/>
        <w:widowControl w:val="0"/>
      </w:pPr>
    </w:p>
    <w:p>
      <w:pPr>
        <w:keepNext/>
        <w:spacing w:before="40" w:after="120" w:line="240" w:lineRule="auto"/>
        <w:jc w:val="center"/>
        <w:widowControl w:val="0"/>
      </w:pPr>
      <w:r>
        <w:rPr>
          <w:rFonts w:ascii="Montserrat" w:hAnsi="Montserrat" w:eastAsia="Montserrat"/>
          <w:b/>
          <w:sz w:val="28"/>
        </w:rPr>
        <w:t>Can the Eyes Reveal Vagus Nerve Engagement? Ocular and Autonomic Signatures of taVNS in Healthy Volunteers</w:t>
      </w:r>
    </w:p>
    <w:p>
      <w:pPr>
        <w:keepNext/>
        <w:spacing w:before="0" w:after="40" w:line="240" w:lineRule="auto"/>
        <w:jc w:val="left"/>
        <w:widowControl w:val="0"/>
      </w:pPr>
      <w:r>
        <w:rPr>
          <w:rFonts w:ascii="Montserrat" w:hAnsi="Montserrat" w:eastAsia="Montserrat"/>
          <w:b/>
          <w:sz w:val="20"/>
        </w:rPr>
        <w:t>Summary:</w:t>
      </w:r>
    </w:p>
    <w:p>
      <w:pPr>
        <w:keepNext w:val="0"/>
        <w:spacing w:before="0" w:after="30" w:line="240" w:lineRule="auto"/>
        <w:jc w:val="both"/>
        <w:widowControl w:val="0"/>
      </w:pPr>
      <w:r>
        <w:rPr>
          <w:rFonts w:ascii="Montserrat" w:hAnsi="Montserrat" w:eastAsia="Montserrat"/>
          <w:sz w:val="20"/>
        </w:rPr>
        <w:t>Transcutaneous auricular vagus nerve stimulation (taVNS) provides a non-invasive way to stimulate auricular vagal afferents and probe brainstem neuromodulatory pathways. A key proposed route is the vagus–nucleus tractus solitarius–locus coeruleus–norepinephrine (LC-NE) pathway. Human imaging and physiological studies support central effects of taVNS, but reliable markers of target engagement remain an important challenge.</w:t>
      </w:r>
      <w:r>
        <w:rPr>
          <w:rFonts w:ascii="Montserrat" w:hAnsi="Montserrat" w:eastAsia="Montserrat"/>
          <w:sz w:val="18"/>
          <w:vertAlign w:val="superscript"/>
        </w:rPr>
        <w:t>1,2</w:t>
      </w:r>
    </w:p>
    <w:p>
      <w:pPr>
        <w:keepNext w:val="0"/>
        <w:spacing w:before="0" w:after="30" w:line="240" w:lineRule="auto"/>
        <w:jc w:val="both"/>
        <w:widowControl w:val="0"/>
      </w:pPr>
      <w:r>
        <w:rPr>
          <w:rFonts w:ascii="Montserrat" w:hAnsi="Montserrat" w:eastAsia="Montserrat"/>
          <w:sz w:val="20"/>
        </w:rPr>
        <w:t>This project will test whether eye-based measures provide objective signatures of taVNS-related neuromodulatory engagement in healthy volunteers. Pupil diameter reflects arousal-related neuromodulatory activity, while prosaccade and antisaccade performance capture rapid orienting, movement dynamics and inhibitory control. Noradrenergic manipulation has been shown to alter prosaccade latency, saccadic main-sequence properties and antisaccade accuracy, supporting these measures as candidate functional readouts.</w:t>
      </w:r>
      <w:r>
        <w:rPr>
          <w:rFonts w:ascii="Montserrat" w:hAnsi="Montserrat" w:eastAsia="Montserrat"/>
          <w:sz w:val="18"/>
          <w:vertAlign w:val="superscript"/>
        </w:rPr>
        <w:t>3</w:t>
      </w:r>
    </w:p>
    <w:p>
      <w:pPr>
        <w:keepNext w:val="0"/>
        <w:spacing w:before="0" w:after="30" w:line="240" w:lineRule="auto"/>
        <w:jc w:val="both"/>
        <w:widowControl w:val="0"/>
      </w:pPr>
      <w:r>
        <w:rPr>
          <w:rFonts w:ascii="Montserrat" w:hAnsi="Montserrat" w:eastAsia="Montserrat"/>
          <w:sz w:val="20"/>
        </w:rPr>
        <w:t>Participants will complete active taVNS at the left cymba conchae and sensory-matched sham stimulation at the left earlobe on separate randomized visits. Pupil diameter and eye movements will be recorded with an EyeLink 1000 Portable Duo at 500 Hz. The protocol combines brief stimulation trials for phasic pupil dilation with a continuous prestimulation, seven-minute stimulation and post-stimulation recording. Prosaccade and antisaccade tasks will assess latency, velocity, amplitude, main-sequence characteristics and inhibitory errors during stimulation.</w:t>
      </w:r>
    </w:p>
    <w:p>
      <w:pPr>
        <w:keepNext w:val="0"/>
        <w:spacing w:before="0" w:after="30" w:line="240" w:lineRule="auto"/>
        <w:jc w:val="both"/>
        <w:widowControl w:val="0"/>
      </w:pPr>
      <w:r>
        <w:rPr>
          <w:rFonts w:ascii="Montserrat" w:hAnsi="Montserrat" w:eastAsia="Montserrat"/>
          <w:sz w:val="20"/>
        </w:rPr>
        <w:t>Electrodermal activity (EDA) will be recorded simultaneously because electrical stimulation can also produce somatosensory salience and sympathetic arousal that influence pupil diameter. Phasic and tonic EDA will be secondary autonomic outcomes, and EDA-adjusted pupil analyses will test whether active-versus-sham pupil differences remain after accounting for concurrent autonomic variation. This helps distinguish a reproducible ocular signature from effects driven mainly by the sensory experience of stimulation.</w:t>
      </w:r>
      <w:r>
        <w:rPr>
          <w:rFonts w:ascii="Montserrat" w:hAnsi="Montserrat" w:eastAsia="Montserrat"/>
          <w:sz w:val="18"/>
          <w:vertAlign w:val="superscript"/>
        </w:rPr>
        <w:t>4,5</w:t>
      </w:r>
    </w:p>
    <w:p>
      <w:pPr>
        <w:keepNext w:val="0"/>
        <w:spacing w:before="0" w:after="30" w:line="240" w:lineRule="auto"/>
        <w:jc w:val="both"/>
        <w:widowControl w:val="0"/>
      </w:pPr>
      <w:r>
        <w:rPr>
          <w:rFonts w:ascii="Montserrat" w:hAnsi="Montserrat" w:eastAsia="Montserrat"/>
          <w:sz w:val="20"/>
        </w:rPr>
        <w:t>Depending on recruitment and project timing, the student will gain hands-on experience with human experimental neuroscience, taVNS administration, eye-tracker calibration, pupillometry, pro/antisaccade paradigms and EDA recording. Analytical work will include signal-quality control, blink and artifact handling, extraction of phasic and tonic responses, saccade detection, visualization and repeated-measures analysis using MATLAB and related tools. The student will work closely with the research team and contribute to standardized data-collection sessions.</w:t>
      </w:r>
    </w:p>
    <w:p>
      <w:pPr>
        <w:keepNext w:val="0"/>
        <w:spacing w:before="20" w:after="0" w:line="240" w:lineRule="auto"/>
        <w:jc w:val="both"/>
        <w:widowControl w:val="0"/>
      </w:pPr>
      <w:r>
        <w:rPr>
          <w:rFonts w:ascii="Montserrat" w:hAnsi="Montserrat" w:eastAsia="Montserrat"/>
          <w:b/>
          <w:i/>
          <w:sz w:val="20"/>
        </w:rPr>
        <w:t>Key words:</w:t>
      </w:r>
      <w:r>
        <w:rPr>
          <w:rFonts w:ascii="Montserrat" w:hAnsi="Montserrat" w:eastAsia="Montserrat"/>
          <w:sz w:val="20"/>
        </w:rPr>
        <w:t xml:space="preserve"> taVNS, vagus nerve, pupillometry, eye tracking, saccades, locus coeruleus, electrodermal activity</w:t>
      </w:r>
    </w:p>
    <w:p>
      <w:pPr>
        <w:keepNext w:val="0"/>
        <w:pageBreakBefore/>
        <w:spacing w:before="0" w:after="40" w:line="240" w:lineRule="auto"/>
        <w:jc w:val="left"/>
        <w:widowControl w:val="0"/>
      </w:pPr>
      <w:r>
        <w:rPr>
          <w:rFonts w:ascii="Montserrat" w:hAnsi="Montserrat" w:eastAsia="Montserrat"/>
          <w:sz w:val="20"/>
        </w:rPr>
        <w:t>This project fits more specifically into the following SBIM master program(s) at UCLouvain:</w:t>
      </w:r>
    </w:p>
    <w:p>
      <w:pPr>
        <w:keepNext w:val="0"/>
        <w:spacing w:before="0" w:after="240" w:line="240" w:lineRule="auto"/>
        <w:ind w:left="504"/>
        <w:jc w:val="left"/>
        <w:widowControl w:val="0"/>
      </w:pPr>
      <w:r>
        <w:rPr>
          <w:rFonts w:ascii="Montserrat" w:hAnsi="Montserrat" w:eastAsia="Montserrat"/>
          <w:b/>
          <w:sz w:val="20"/>
        </w:rPr>
        <w:t>O</w:t>
      </w:r>
      <w:r>
        <w:rPr>
          <w:rFonts w:ascii="Montserrat" w:hAnsi="Montserrat" w:eastAsia="Montserrat"/>
          <w:sz w:val="20"/>
        </w:rPr>
        <w:t xml:space="preserve"> Finalité approfondie, option neurosciences</w:t>
      </w:r>
    </w:p>
    <w:p>
      <w:pPr>
        <w:keepNext/>
        <w:spacing w:before="0" w:after="60" w:line="240" w:lineRule="auto"/>
        <w:jc w:val="left"/>
        <w:widowControl w:val="0"/>
      </w:pPr>
      <w:r>
        <w:rPr>
          <w:rFonts w:ascii="Montserrat" w:hAnsi="Montserrat" w:eastAsia="Montserrat"/>
          <w:b/>
          <w:sz w:val="20"/>
        </w:rPr>
        <w:t>Selected references:</w:t>
      </w:r>
    </w:p>
    <w:p>
      <w:pPr>
        <w:keepNext w:val="0"/>
        <w:spacing w:before="0" w:after="30" w:line="240" w:lineRule="auto"/>
        <w:ind w:left="0" w:firstLine="0"/>
        <w:jc w:val="left"/>
        <w:widowControl w:val="0"/>
      </w:pPr>
      <w:r>
        <w:rPr>
          <w:rFonts w:ascii="Montserrat" w:hAnsi="Montserrat" w:eastAsia="Montserrat"/>
          <w:sz w:val="20"/>
        </w:rPr>
        <w:t xml:space="preserve">1.   Borgmann D, et al. (2021). NeuroImage 244, 118566. </w:t>
      </w:r>
      <w:hyperlink r:id="rId14">
        <w:r>
          <w:rPr>
            <w:rFonts w:ascii="Montserrat" w:hAnsi="Montserrat"/>
            <w:color w:val="0000FF"/>
            <w:u w:val="single"/>
            <w:sz w:val="20"/>
            <w:szCs w:val="20"/>
          </w:rPr>
          <w:t>https://doi.org/10.1016/j.neuroimage.2021.118566</w:t>
        </w:r>
      </w:hyperlink>
    </w:p>
    <w:p>
      <w:pPr>
        <w:keepNext w:val="0"/>
        <w:spacing w:before="0" w:after="30" w:line="240" w:lineRule="auto"/>
        <w:ind w:left="0" w:firstLine="0"/>
        <w:jc w:val="left"/>
        <w:widowControl w:val="0"/>
      </w:pPr>
      <w:r>
        <w:rPr>
          <w:rFonts w:ascii="Montserrat" w:hAnsi="Montserrat" w:eastAsia="Montserrat"/>
          <w:sz w:val="20"/>
        </w:rPr>
        <w:t xml:space="preserve">2.   Sharon O, Fahoum F, Nir Y. (2021). J Neurosci 41, 320–330. </w:t>
      </w:r>
      <w:hyperlink r:id="rId15">
        <w:r>
          <w:rPr>
            <w:rFonts w:ascii="Montserrat" w:hAnsi="Montserrat"/>
            <w:color w:val="0000FF"/>
            <w:u w:val="single"/>
            <w:sz w:val="20"/>
            <w:szCs w:val="20"/>
          </w:rPr>
          <w:t>https://doi.org/10.1523/JNEUROSCI.1361-20.2020</w:t>
        </w:r>
      </w:hyperlink>
    </w:p>
    <w:p>
      <w:pPr>
        <w:keepNext w:val="0"/>
        <w:spacing w:before="0" w:after="30" w:line="240" w:lineRule="auto"/>
        <w:ind w:left="0" w:firstLine="0"/>
        <w:jc w:val="left"/>
        <w:widowControl w:val="0"/>
      </w:pPr>
      <w:r>
        <w:rPr>
          <w:rFonts w:ascii="Montserrat" w:hAnsi="Montserrat" w:eastAsia="Montserrat"/>
          <w:sz w:val="20"/>
        </w:rPr>
        <w:t xml:space="preserve">3.   Orlando IF, et al. (2024). Brain Commun 6, fcae297. </w:t>
      </w:r>
      <w:hyperlink r:id="rId16">
        <w:r>
          <w:rPr>
            <w:rFonts w:ascii="Montserrat" w:hAnsi="Montserrat"/>
            <w:color w:val="0000FF"/>
            <w:u w:val="single"/>
            <w:sz w:val="20"/>
            <w:szCs w:val="20"/>
          </w:rPr>
          <w:t>https://doi.org/10.1093/braincomms/fcae297</w:t>
        </w:r>
      </w:hyperlink>
    </w:p>
    <w:p>
      <w:pPr>
        <w:keepNext w:val="0"/>
        <w:spacing w:before="0" w:after="30" w:line="240" w:lineRule="auto"/>
        <w:ind w:left="0" w:firstLine="0"/>
        <w:jc w:val="left"/>
        <w:widowControl w:val="0"/>
      </w:pPr>
      <w:r>
        <w:rPr>
          <w:rFonts w:ascii="Montserrat" w:hAnsi="Montserrat" w:eastAsia="Montserrat"/>
          <w:sz w:val="20"/>
        </w:rPr>
        <w:t xml:space="preserve">4.   Chang YH, Yep R, Wang CA. (2025). Psychophysiology 62, e14726. </w:t>
      </w:r>
      <w:hyperlink r:id="rId17">
        <w:r>
          <w:rPr>
            <w:rFonts w:ascii="Montserrat" w:hAnsi="Montserrat"/>
            <w:color w:val="0000FF"/>
            <w:u w:val="single"/>
            <w:sz w:val="20"/>
            <w:szCs w:val="20"/>
          </w:rPr>
          <w:t>https://doi.org/10.1111/psyp.14726</w:t>
        </w:r>
      </w:hyperlink>
    </w:p>
    <w:p>
      <w:pPr>
        <w:keepNext w:val="0"/>
        <w:spacing w:before="0" w:after="30" w:line="240" w:lineRule="auto"/>
        <w:ind w:left="0" w:firstLine="0"/>
        <w:jc w:val="left"/>
        <w:widowControl w:val="0"/>
      </w:pPr>
      <w:r>
        <w:rPr>
          <w:rFonts w:ascii="Montserrat" w:hAnsi="Montserrat" w:eastAsia="Montserrat"/>
          <w:sz w:val="20"/>
        </w:rPr>
        <w:t xml:space="preserve">5.   Vezzani C, et al. (2026). iScience 29, 114795. </w:t>
      </w:r>
      <w:hyperlink r:id="rId18">
        <w:r>
          <w:rPr>
            <w:rFonts w:ascii="Montserrat" w:hAnsi="Montserrat"/>
            <w:color w:val="0000FF"/>
            <w:u w:val="single"/>
            <w:sz w:val="20"/>
            <w:szCs w:val="20"/>
          </w:rPr>
          <w:t>https://doi.org/10.1016/j.isci.2026.114795</w:t>
        </w:r>
      </w:hyperlink>
    </w:p>
    <w:sectPr w:rsidR="00597680" w:rsidRPr="004B6ACD" w:rsidSect="004A65B4">
      <w:headerReference w:type="default" r:id="rId6"/>
      <w:footerReference w:type="even" r:id="rId7"/>
      <w:footerReference w:type="default" r:id="rId8"/>
      <w:headerReference w:type="first" r:id="rId9"/>
      <w:pgSz w:w="12240" w:h="15840"/>
      <w:pgMar w:top="1247" w:right="1247" w:bottom="1247" w:left="1247" w:header="720" w:footer="72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A5723D" w14:textId="77777777" w:rsidR="00AB0F6F" w:rsidRDefault="00AB0F6F">
      <w:r>
        <w:separator/>
      </w:r>
    </w:p>
  </w:endnote>
  <w:endnote w:type="continuationSeparator" w:id="0">
    <w:p w14:paraId="03BF3543" w14:textId="77777777" w:rsidR="00AB0F6F" w:rsidRDefault="00AB0F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BoldMT">
    <w:panose1 w:val="020B0604020202020204"/>
    <w:charset w:val="00"/>
    <w:family w:val="auto"/>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Times">
    <w:panose1 w:val="00000500000000020000"/>
    <w:charset w:val="00"/>
    <w:family w:val="auto"/>
    <w:pitch w:val="variable"/>
    <w:sig w:usb0="E00002FF" w:usb1="5000205A" w:usb2="00000000" w:usb3="00000000" w:csb0="0000019F" w:csb1="00000000"/>
  </w:font>
  <w:font w:name="Montserrat">
    <w:panose1 w:val="00000500000000000000"/>
    <w:charset w:val="4D"/>
    <w:family w:val="auto"/>
    <w:pitch w:val="variable"/>
    <w:sig w:usb0="2000020F" w:usb1="00000003" w:usb2="00000000" w:usb3="00000000" w:csb0="00000197" w:csb1="00000000"/>
  </w:font>
  <w:font w:name="Helvetica Neue Light">
    <w:altName w:val="HELVETICA NEUE LIGHT"/>
    <w:panose1 w:val="02000403000000020004"/>
    <w:charset w:val="00"/>
    <w:family w:val="auto"/>
    <w:pitch w:val="variable"/>
    <w:sig w:usb0="A00002FF" w:usb1="5000205B" w:usb2="00000002" w:usb3="00000000" w:csb0="0000000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CA5D45" w14:textId="77777777" w:rsidR="007D67F0" w:rsidRDefault="00AE0972" w:rsidP="00892A67">
    <w:pPr>
      <w:pStyle w:val="Pieddepage"/>
      <w:framePr w:wrap="around" w:vAnchor="text" w:hAnchor="margin" w:xAlign="right" w:y="1"/>
      <w:rPr>
        <w:rStyle w:val="Numrodepage"/>
      </w:rPr>
    </w:pPr>
    <w:r>
      <w:rPr>
        <w:rStyle w:val="Numrodepage"/>
      </w:rPr>
      <w:fldChar w:fldCharType="begin"/>
    </w:r>
    <w:r w:rsidR="007D67F0">
      <w:rPr>
        <w:rStyle w:val="Numrodepage"/>
      </w:rPr>
      <w:instrText xml:space="preserve">PAGE  </w:instrText>
    </w:r>
    <w:r>
      <w:rPr>
        <w:rStyle w:val="Numrodepage"/>
      </w:rPr>
      <w:fldChar w:fldCharType="end"/>
    </w:r>
  </w:p>
  <w:p w14:paraId="0D68E8AD" w14:textId="77777777" w:rsidR="007D67F0" w:rsidRDefault="007D67F0" w:rsidP="00892A67">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95E92D" w14:textId="77777777" w:rsidR="007D67F0" w:rsidRPr="00892A67" w:rsidRDefault="00AE0972" w:rsidP="00892A67">
    <w:pPr>
      <w:pStyle w:val="Pieddepage"/>
      <w:framePr w:wrap="around" w:vAnchor="text" w:hAnchor="margin" w:xAlign="right" w:y="1"/>
      <w:rPr>
        <w:rStyle w:val="Numrodepage"/>
      </w:rPr>
    </w:pPr>
    <w:r w:rsidRPr="00892A67">
      <w:rPr>
        <w:rStyle w:val="Numrodepage"/>
        <w:rFonts w:asciiTheme="majorHAnsi" w:hAnsiTheme="majorHAnsi"/>
        <w:sz w:val="20"/>
      </w:rPr>
      <w:fldChar w:fldCharType="begin"/>
    </w:r>
    <w:r w:rsidR="007D67F0" w:rsidRPr="00892A67">
      <w:rPr>
        <w:rStyle w:val="Numrodepage"/>
        <w:rFonts w:asciiTheme="majorHAnsi" w:hAnsiTheme="majorHAnsi"/>
        <w:sz w:val="20"/>
      </w:rPr>
      <w:instrText xml:space="preserve">PAGE  </w:instrText>
    </w:r>
    <w:r w:rsidRPr="00892A67">
      <w:rPr>
        <w:rStyle w:val="Numrodepage"/>
        <w:rFonts w:asciiTheme="majorHAnsi" w:hAnsiTheme="majorHAnsi"/>
        <w:sz w:val="20"/>
      </w:rPr>
      <w:fldChar w:fldCharType="separate"/>
    </w:r>
    <w:r w:rsidR="00B74827">
      <w:rPr>
        <w:rStyle w:val="Numrodepage"/>
        <w:rFonts w:asciiTheme="majorHAnsi" w:hAnsiTheme="majorHAnsi"/>
        <w:noProof/>
        <w:sz w:val="20"/>
      </w:rPr>
      <w:t>2</w:t>
    </w:r>
    <w:r w:rsidRPr="00892A67">
      <w:rPr>
        <w:rStyle w:val="Numrodepage"/>
        <w:rFonts w:asciiTheme="majorHAnsi" w:hAnsiTheme="majorHAnsi"/>
        <w:sz w:val="20"/>
      </w:rPr>
      <w:fldChar w:fldCharType="end"/>
    </w:r>
  </w:p>
  <w:p w14:paraId="001F4E80" w14:textId="77777777" w:rsidR="007D67F0" w:rsidRDefault="007D67F0" w:rsidP="00892A67">
    <w:pPr>
      <w:pStyle w:val="Pieddepag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CE17A3" w14:textId="77777777" w:rsidR="00AB0F6F" w:rsidRDefault="00AB0F6F">
      <w:r>
        <w:separator/>
      </w:r>
    </w:p>
  </w:footnote>
  <w:footnote w:type="continuationSeparator" w:id="0">
    <w:p w14:paraId="339E1CDF" w14:textId="77777777" w:rsidR="00AB0F6F" w:rsidRDefault="00AB0F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642A19" w14:textId="74F9A3E5" w:rsidR="007D67F0" w:rsidRDefault="00537FF2">
    <w:pPr>
      <w:pStyle w:val="En-tte"/>
    </w:pPr>
    <w:r>
      <w:rPr>
        <w:noProof/>
        <w:lang w:eastAsia="fr-FR"/>
      </w:rPr>
      <mc:AlternateContent>
        <mc:Choice Requires="wps">
          <w:drawing>
            <wp:anchor distT="0" distB="0" distL="114300" distR="114300" simplePos="0" relativeHeight="251659264" behindDoc="0" locked="0" layoutInCell="1" allowOverlap="1" wp14:anchorId="3AECA4D7" wp14:editId="5EAEDA4D">
              <wp:simplePos x="0" y="0"/>
              <wp:positionH relativeFrom="column">
                <wp:posOffset>-386080</wp:posOffset>
              </wp:positionH>
              <wp:positionV relativeFrom="paragraph">
                <wp:posOffset>-27940</wp:posOffset>
              </wp:positionV>
              <wp:extent cx="914400" cy="1028700"/>
              <wp:effectExtent l="0" t="0" r="0" b="12700"/>
              <wp:wrapNone/>
              <wp:docPr id="2" name="Zone de texte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14400" cy="10287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14:paraId="3B8648F3" w14:textId="77777777" w:rsidR="007D67F0" w:rsidRDefault="007D67F0" w:rsidP="0090674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3AECA4D7" id="_x0000_t202" coordsize="21600,21600" o:spt="202" path="m,l,21600r21600,l21600,xe">
              <v:stroke joinstyle="miter"/>
              <v:path gradientshapeok="t" o:connecttype="rect"/>
            </v:shapetype>
            <v:shape id="Zone de texte 4" o:spid="_x0000_s1026" type="#_x0000_t202" style="position:absolute;margin-left:-30.4pt;margin-top:-2.2pt;width:1in;height:8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" filled="f" stroked="f">
              <v:textbox>
                <w:txbxContent>
                  <w:p w14:paraId="3B8648F3" w14:textId="77777777" w:rsidR="007D67F0" w:rsidRDefault="007D67F0" w:rsidP="00906749"/>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E1944F" w14:textId="4A9194BD" w:rsidR="007D67F0" w:rsidRDefault="0021214D">
    <w:pPr>
      <w:pStyle w:val="En-tte"/>
    </w:pPr>
    <w:r>
      <w:rPr>
        <w:noProof/>
        <w:lang w:eastAsia="fr-FR"/>
      </w:rPr>
      <w:drawing>
        <wp:inline distT="0" distB="0" distL="0" distR="0" wp14:anchorId="76BB230E" wp14:editId="4E4F9AAB">
          <wp:extent cx="1475874" cy="361253"/>
          <wp:effectExtent l="0" t="0" r="0" b="0"/>
          <wp:docPr id="6" name="Image 6" descr="../../../../../Downloads/_UCLouvain_Logo_Impression_Positif_CMJ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ownloads/_UCLouvain_Logo_Impression_Positif_CMJN.jpg"/>
                  <pic:cNvPicPr>
                    <a:picLocks noChangeAspect="1" noChangeArrowheads="1"/>
                  </pic:cNvPicPr>
                </pic:nvPicPr>
                <pic:blipFill rotWithShape="1">
                  <a:blip r:embed="rId1">
                    <a:extLst>
                      <a:ext uri="{28A0092B-C50C-407E-A947-70E740481C1C}">
                        <a14:useLocalDpi xmlns:a14="http://schemas.microsoft.com/office/drawing/2010/main" val="0"/>
                      </a:ext>
                    </a:extLst>
                  </a:blip>
                  <a:srcRect l="5928"/>
                  <a:stretch/>
                </pic:blipFill>
                <pic:spPr bwMode="auto">
                  <a:xfrm>
                    <a:off x="0" y="0"/>
                    <a:ext cx="1568061" cy="383818"/>
                  </a:xfrm>
                  <a:prstGeom prst="rect">
                    <a:avLst/>
                  </a:prstGeom>
                  <a:noFill/>
                  <a:ln>
                    <a:noFill/>
                  </a:ln>
                  <a:extLst>
                    <a:ext uri="{53640926-AAD7-44D8-BBD7-CCE9431645EC}">
                      <a14:shadowObscured xmlns:a14="http://schemas.microsoft.com/office/drawing/2010/main"/>
                    </a:ext>
                  </a:extLst>
                </pic:spPr>
              </pic:pic>
            </a:graphicData>
          </a:graphic>
        </wp:inline>
      </w:drawing>
    </w:r>
  </w:p>
  <w:p w14:paraId="5DA7D265" w14:textId="370EB70F" w:rsidR="0021214D" w:rsidRPr="00597680" w:rsidRDefault="0021214D" w:rsidP="00B74827">
    <w:pPr>
      <w:pStyle w:val="En-tte"/>
      <w:pBdr>
        <w:bottom w:val="single" w:sz="4" w:space="1" w:color="9D4EA7"/>
      </w:pBdr>
      <w:spacing w:line="276" w:lineRule="auto"/>
      <w:rPr>
        <w:rFonts w:ascii="Helvetica Neue Light" w:hAnsi="Helvetica Neue Light"/>
        <w:color w:val="9D4EA7"/>
        <w:sz w:val="18"/>
        <w:szCs w:val="22"/>
      </w:rPr>
    </w:pPr>
    <w:r w:rsidRPr="00597680">
      <w:rPr>
        <w:rFonts w:ascii="Helvetica Neue Light" w:hAnsi="Helvetica Neue Light"/>
        <w:color w:val="9D4EA7"/>
        <w:sz w:val="18"/>
        <w:szCs w:val="22"/>
      </w:rPr>
      <w:t>Ecole des Sciences Biomédicales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embedSystemFonts/>
  <w:proofState w:spelling="clean"/>
  <w:defaultTabStop w:val="708"/>
  <w:hyphenationZone w:val="425"/>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106E"/>
    <w:rsid w:val="00130434"/>
    <w:rsid w:val="001B521A"/>
    <w:rsid w:val="001C011E"/>
    <w:rsid w:val="0021214D"/>
    <w:rsid w:val="0022084D"/>
    <w:rsid w:val="00233444"/>
    <w:rsid w:val="00252476"/>
    <w:rsid w:val="00372224"/>
    <w:rsid w:val="003C667F"/>
    <w:rsid w:val="004812D9"/>
    <w:rsid w:val="004A65B4"/>
    <w:rsid w:val="004A7571"/>
    <w:rsid w:val="004B6ACD"/>
    <w:rsid w:val="00514E54"/>
    <w:rsid w:val="00537FF2"/>
    <w:rsid w:val="00597680"/>
    <w:rsid w:val="00636E71"/>
    <w:rsid w:val="006B7B0A"/>
    <w:rsid w:val="00795FF3"/>
    <w:rsid w:val="007D67F0"/>
    <w:rsid w:val="00892A67"/>
    <w:rsid w:val="00906749"/>
    <w:rsid w:val="0093301E"/>
    <w:rsid w:val="00937668"/>
    <w:rsid w:val="009D4328"/>
    <w:rsid w:val="009F20FD"/>
    <w:rsid w:val="00A10822"/>
    <w:rsid w:val="00A51470"/>
    <w:rsid w:val="00AB0F6F"/>
    <w:rsid w:val="00AC4DFA"/>
    <w:rsid w:val="00AE0972"/>
    <w:rsid w:val="00B0106E"/>
    <w:rsid w:val="00B13FBB"/>
    <w:rsid w:val="00B244DA"/>
    <w:rsid w:val="00B74827"/>
    <w:rsid w:val="00BA76C7"/>
    <w:rsid w:val="00BC1C10"/>
    <w:rsid w:val="00BD1B52"/>
    <w:rsid w:val="00BF1D2E"/>
    <w:rsid w:val="00C25C1A"/>
    <w:rsid w:val="00CE539A"/>
    <w:rsid w:val="00D0590A"/>
    <w:rsid w:val="00D207E8"/>
    <w:rsid w:val="00DA213D"/>
    <w:rsid w:val="00DB112B"/>
    <w:rsid w:val="00DC5DBF"/>
    <w:rsid w:val="00EE7961"/>
    <w:rsid w:val="00F12472"/>
    <w:rsid w:val="00FB00B0"/>
  </w:rsids>
  <m:mathPr>
    <m:mathFont m:val="Cambria Math"/>
    <m:brkBin m:val="before"/>
    <m:brkBinSub m:val="--"/>
    <m:smallFrac m:val="0"/>
    <m:dispDef m:val="0"/>
    <m:lMargin m:val="0"/>
    <m:rMargin m:val="0"/>
    <m:defJc m:val="centerGroup"/>
    <m:wrapRight/>
    <m:intLim m:val="subSup"/>
    <m:naryLim m:val="subSup"/>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3283346"/>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993DD7"/>
    <w:rPr>
      <w:sz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892A67"/>
    <w:pPr>
      <w:tabs>
        <w:tab w:val="center" w:pos="4536"/>
        <w:tab w:val="right" w:pos="9072"/>
      </w:tabs>
    </w:pPr>
  </w:style>
  <w:style w:type="character" w:customStyle="1" w:styleId="En-tteCar">
    <w:name w:val="En-tête Car"/>
    <w:basedOn w:val="Policepardfaut"/>
    <w:link w:val="En-tte"/>
    <w:uiPriority w:val="99"/>
    <w:rsid w:val="00892A67"/>
    <w:rPr>
      <w:sz w:val="24"/>
    </w:rPr>
  </w:style>
  <w:style w:type="paragraph" w:styleId="Pieddepage">
    <w:name w:val="footer"/>
    <w:basedOn w:val="Normal"/>
    <w:link w:val="PieddepageCar"/>
    <w:unhideWhenUsed/>
    <w:rsid w:val="00892A67"/>
    <w:pPr>
      <w:tabs>
        <w:tab w:val="center" w:pos="4536"/>
        <w:tab w:val="right" w:pos="9072"/>
      </w:tabs>
    </w:pPr>
  </w:style>
  <w:style w:type="character" w:customStyle="1" w:styleId="PieddepageCar">
    <w:name w:val="Pied de page Car"/>
    <w:basedOn w:val="Policepardfaut"/>
    <w:link w:val="Pieddepage"/>
    <w:uiPriority w:val="99"/>
    <w:rsid w:val="00892A67"/>
    <w:rPr>
      <w:sz w:val="24"/>
    </w:rPr>
  </w:style>
  <w:style w:type="character" w:styleId="Numrodepage">
    <w:name w:val="page number"/>
    <w:basedOn w:val="Policepardfaut"/>
    <w:uiPriority w:val="99"/>
    <w:semiHidden/>
    <w:unhideWhenUsed/>
    <w:rsid w:val="00892A67"/>
  </w:style>
  <w:style w:type="paragraph" w:customStyle="1" w:styleId="Facen-tte">
    <w:name w:val="Fac en-tête"/>
    <w:basedOn w:val="Normal"/>
    <w:uiPriority w:val="99"/>
    <w:rsid w:val="00906749"/>
    <w:pPr>
      <w:widowControl w:val="0"/>
      <w:suppressAutoHyphens/>
      <w:autoSpaceDE w:val="0"/>
      <w:autoSpaceDN w:val="0"/>
      <w:adjustRightInd w:val="0"/>
      <w:spacing w:line="220" w:lineRule="atLeast"/>
      <w:textAlignment w:val="baseline"/>
    </w:pPr>
    <w:rPr>
      <w:rFonts w:ascii="Arial-BoldMT" w:eastAsia="MS Mincho" w:hAnsi="Arial-BoldMT" w:cs="Arial-BoldMT"/>
      <w:b/>
      <w:bCs/>
      <w:color w:val="000075"/>
      <w:sz w:val="18"/>
      <w:szCs w:val="18"/>
      <w:lang w:val="en-US" w:eastAsia="fr-FR"/>
    </w:rPr>
  </w:style>
  <w:style w:type="paragraph" w:styleId="Titre">
    <w:name w:val="Title"/>
    <w:basedOn w:val="Normal"/>
    <w:link w:val="TitreCar"/>
    <w:qFormat/>
    <w:rsid w:val="00597680"/>
    <w:pPr>
      <w:jc w:val="center"/>
    </w:pPr>
    <w:rPr>
      <w:rFonts w:ascii="Times New Roman" w:eastAsia="Times New Roman" w:hAnsi="Times New Roman" w:cs="Times New Roman"/>
      <w:lang w:val="fr-BE" w:eastAsia="fr-FR"/>
    </w:rPr>
  </w:style>
  <w:style w:type="character" w:customStyle="1" w:styleId="TitreCar">
    <w:name w:val="Titre Car"/>
    <w:basedOn w:val="Policepardfaut"/>
    <w:link w:val="Titre"/>
    <w:rsid w:val="00597680"/>
    <w:rPr>
      <w:rFonts w:ascii="Times New Roman" w:eastAsia="Times New Roman" w:hAnsi="Times New Roman" w:cs="Times New Roman"/>
      <w:sz w:val="24"/>
      <w:lang w:val="fr-BE" w:eastAsia="fr-FR"/>
    </w:rPr>
  </w:style>
  <w:style w:type="paragraph" w:styleId="Sous-titre">
    <w:name w:val="Subtitle"/>
    <w:basedOn w:val="Normal"/>
    <w:link w:val="Sous-titreCar"/>
    <w:qFormat/>
    <w:rsid w:val="00597680"/>
    <w:pPr>
      <w:jc w:val="center"/>
    </w:pPr>
    <w:rPr>
      <w:rFonts w:ascii="Times New Roman" w:eastAsia="Times New Roman" w:hAnsi="Times New Roman" w:cs="Times New Roman"/>
      <w:lang w:val="fr-BE" w:eastAsia="fr-FR"/>
    </w:rPr>
  </w:style>
  <w:style w:type="character" w:customStyle="1" w:styleId="Sous-titreCar">
    <w:name w:val="Sous-titre Car"/>
    <w:basedOn w:val="Policepardfaut"/>
    <w:link w:val="Sous-titre"/>
    <w:rsid w:val="00597680"/>
    <w:rPr>
      <w:rFonts w:ascii="Times New Roman" w:eastAsia="Times New Roman" w:hAnsi="Times New Roman" w:cs="Times New Roman"/>
      <w:sz w:val="24"/>
      <w:lang w:val="fr-BE"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 Id="rId12" Type="http://schemas.openxmlformats.org/officeDocument/2006/relationships/hyperlink" Target="mailto:riem.eltahry@uclouvain.be" TargetMode="External"/><Relationship Id="rId13" Type="http://schemas.openxmlformats.org/officeDocument/2006/relationships/hyperlink" Target="https://www.enlab.be/" TargetMode="External"/><Relationship Id="rId14" Type="http://schemas.openxmlformats.org/officeDocument/2006/relationships/hyperlink" Target="https://doi.org/10.1016/j.neuroimage.2021.118566" TargetMode="External"/><Relationship Id="rId15" Type="http://schemas.openxmlformats.org/officeDocument/2006/relationships/hyperlink" Target="https://doi.org/10.1523/JNEUROSCI.1361-20.2020" TargetMode="External"/><Relationship Id="rId16" Type="http://schemas.openxmlformats.org/officeDocument/2006/relationships/hyperlink" Target="https://doi.org/10.1093/braincomms/fcae297" TargetMode="External"/><Relationship Id="rId17" Type="http://schemas.openxmlformats.org/officeDocument/2006/relationships/hyperlink" Target="https://doi.org/10.1111/psyp.14726" TargetMode="External"/><Relationship Id="rId18" Type="http://schemas.openxmlformats.org/officeDocument/2006/relationships/hyperlink" Target="https://doi.org/10.1016/j.isci.2026.114795"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96</Words>
  <Characters>528</Characters>
  <Application>Microsoft Office Word</Application>
  <DocSecurity>0</DocSecurity>
  <Lines>4</Lines>
  <Paragraphs>1</Paragraphs>
  <ScaleCrop>false</ScaleCrop>
  <HeadingPairs>
    <vt:vector size="2" baseType="variant">
      <vt:variant>
        <vt:lpstr>Titre</vt:lpstr>
      </vt:variant>
      <vt:variant>
        <vt:i4>1</vt:i4>
      </vt:variant>
    </vt:vector>
  </HeadingPairs>
  <TitlesOfParts>
    <vt:vector size="1" baseType="lpstr">
      <vt:lpstr/>
    </vt:vector>
  </TitlesOfParts>
  <Company>de Duve Institute</Company>
  <LinksUpToDate>false</LinksUpToDate>
  <CharactersWithSpaces>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Charles  De Smet</dc:creator>
  <cp:keywords/>
  <cp:lastModifiedBy>Charles De Smet</cp:lastModifiedBy>
  <cp:revision>2</cp:revision>
  <cp:lastPrinted>2018-09-21T09:51:00Z</cp:lastPrinted>
  <dcterms:created xsi:type="dcterms:W3CDTF">2025-07-16T14:20:00Z</dcterms:created>
  <dcterms:modified xsi:type="dcterms:W3CDTF">2025-07-16T14:20:00Z</dcterms:modified>
</cp:coreProperties>
</file>